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3C8" w:rsidRPr="000B33C8" w:rsidRDefault="000B33C8" w:rsidP="005B7F09">
      <w:pPr>
        <w:rPr>
          <w:b/>
        </w:rPr>
      </w:pPr>
      <w:r>
        <w:rPr>
          <w:b/>
        </w:rPr>
        <w:t>ΕΝΤΥΠΟ ΔΙΕΥΚΡΙΝΗΣΕΩΝ ΕΠΙ ΤΗΣ ΠΡΟΣΚΛΗΣΗΣ ΑΤΤ105 «</w:t>
      </w:r>
      <w:r w:rsidRPr="000B33C8">
        <w:rPr>
          <w:b/>
        </w:rPr>
        <w:t>Εφαρμογή συστημάτων επεξεργασίας νερού και νέα δίκτυα ύδρευσης για την ικανοποίηση αναγκών σε νησιώτικες περιοχές της Αττικής με προβλήματα (ποιοτικά και ποσοτικά) σε πόσιμο νερό – έργα δικτύων ύδρευσης και συστήματα επεξεργασίας νερού</w:t>
      </w:r>
      <w:r>
        <w:rPr>
          <w:b/>
        </w:rPr>
        <w:t>»</w:t>
      </w:r>
    </w:p>
    <w:p w:rsidR="00390A25" w:rsidRPr="005B7F09" w:rsidRDefault="004C6B4E" w:rsidP="005B7F09">
      <w:pPr>
        <w:pStyle w:val="a3"/>
        <w:numPr>
          <w:ilvl w:val="0"/>
          <w:numId w:val="1"/>
        </w:numPr>
        <w:rPr>
          <w:u w:val="single"/>
        </w:rPr>
      </w:pPr>
      <w:r w:rsidRPr="005B7F09">
        <w:rPr>
          <w:u w:val="single"/>
        </w:rPr>
        <w:t>Εξυπηρετούμενος πληθυσμός από την προτεινόμενη παρέμβαση</w:t>
      </w:r>
    </w:p>
    <w:p w:rsidR="004C6B4E" w:rsidRPr="005B7F09" w:rsidRDefault="004C6B4E" w:rsidP="000B33C8">
      <w:pPr>
        <w:spacing w:after="0"/>
        <w:rPr>
          <w:rFonts w:cs="Arial"/>
        </w:rPr>
      </w:pPr>
      <w:r w:rsidRPr="005B7F09">
        <w:t xml:space="preserve">Ο </w:t>
      </w:r>
      <w:r w:rsidR="005B7F09" w:rsidRPr="005B7F09">
        <w:t>Δείκτης</w:t>
      </w:r>
      <w:r w:rsidRPr="005B7F09">
        <w:t xml:space="preserve"> εκροών </w:t>
      </w:r>
      <w:r w:rsidRPr="005B7F09">
        <w:rPr>
          <w:lang w:val="en-US"/>
        </w:rPr>
        <w:t>CO</w:t>
      </w:r>
      <w:r w:rsidRPr="005B7F09">
        <w:t>18 «</w:t>
      </w:r>
      <w:r w:rsidRPr="005B7F09">
        <w:rPr>
          <w:i/>
        </w:rPr>
        <w:t>Ύδρευση: Πρόσθετος πληθυσμός που εξυπηρετείται από βελτιωμένη παροχή νερού</w:t>
      </w:r>
      <w:r w:rsidRPr="005B7F09">
        <w:t xml:space="preserve">». </w:t>
      </w:r>
      <w:r w:rsidR="006F4C39" w:rsidRPr="005B7F09">
        <w:t>Ο ορισμός του δείκτη με βάση το Δελτίο Ταυτότητας έχει ως εξής:</w:t>
      </w:r>
    </w:p>
    <w:p w:rsidR="004C6B4E" w:rsidRPr="005B7F09" w:rsidRDefault="004C6B4E" w:rsidP="000B33C8">
      <w:pPr>
        <w:spacing w:after="0"/>
        <w:rPr>
          <w:rFonts w:cs="Arial"/>
        </w:rPr>
      </w:pPr>
      <w:r w:rsidRPr="000B33C8">
        <w:rPr>
          <w:rFonts w:cs="Arial"/>
          <w:bCs/>
          <w:u w:val="single"/>
        </w:rPr>
        <w:t>Ορισμός:</w:t>
      </w:r>
      <w:r w:rsidRPr="005B7F09">
        <w:rPr>
          <w:rFonts w:cs="Arial"/>
          <w:b/>
          <w:bCs/>
        </w:rPr>
        <w:t xml:space="preserve"> </w:t>
      </w:r>
      <w:r w:rsidRPr="005B7F09">
        <w:rPr>
          <w:rFonts w:cs="Arial"/>
        </w:rPr>
        <w:t>Αριθμός ατόμων με πρόσβαση σε πόσιμο νερό μέσω του δικτύου ύδρευσης, λόγω της αύξησης της παραγωγής πόσιμου νερού ή της αύξησης της μεταφορικής ικανότητας ως συνέπεια του έργου.</w:t>
      </w:r>
    </w:p>
    <w:p w:rsidR="004C6B4E" w:rsidRPr="005B7F09" w:rsidRDefault="004C6B4E" w:rsidP="005B7F09">
      <w:pPr>
        <w:rPr>
          <w:rFonts w:cs="Arial"/>
        </w:rPr>
      </w:pPr>
      <w:r w:rsidRPr="000B33C8">
        <w:rPr>
          <w:rFonts w:cs="Arial"/>
          <w:bCs/>
          <w:u w:val="single"/>
        </w:rPr>
        <w:t>Μέθοδος μέτρησης:</w:t>
      </w:r>
      <w:r w:rsidRPr="005B7F09">
        <w:rPr>
          <w:rFonts w:cs="Arial"/>
          <w:b/>
          <w:bCs/>
        </w:rPr>
        <w:t xml:space="preserve"> </w:t>
      </w:r>
      <w:r w:rsidRPr="005B7F09">
        <w:rPr>
          <w:rFonts w:cs="Arial"/>
        </w:rPr>
        <w:t xml:space="preserve">Ο δείκτης μετράει άτομα τα οποία πριν δεν ήταν συνδεδεμένα ή εξυπηρετούνταν από επισφαλή δίκτυα ύδρευσης και καλύπτει άτομα σε νοικοκυριά </w:t>
      </w:r>
      <w:r w:rsidRPr="000B33C8">
        <w:rPr>
          <w:rFonts w:cs="Arial"/>
          <w:bCs/>
          <w:u w:val="single"/>
        </w:rPr>
        <w:t>με πραγματική (όχι εν δυνάμει) σύνδεση.</w:t>
      </w:r>
      <w:r w:rsidRPr="005B7F09">
        <w:rPr>
          <w:rFonts w:cs="Arial"/>
          <w:b/>
          <w:bCs/>
        </w:rPr>
        <w:t xml:space="preserve"> </w:t>
      </w:r>
      <w:r w:rsidRPr="005B7F09">
        <w:rPr>
          <w:rFonts w:cs="Arial"/>
        </w:rPr>
        <w:t xml:space="preserve">Περιλαμβάνονται στη μέτρηση του δείκτη έργα βελτίωσης της ποιότητας του πόσιμου νερού, έργα διαρροών και έργα ανακατασκευής. Στο δείκτη δεν </w:t>
      </w:r>
      <w:proofErr w:type="spellStart"/>
      <w:r w:rsidRPr="005B7F09">
        <w:rPr>
          <w:rFonts w:cs="Arial"/>
        </w:rPr>
        <w:t>προσμετρώνται</w:t>
      </w:r>
      <w:proofErr w:type="spellEnd"/>
      <w:r w:rsidRPr="005B7F09">
        <w:rPr>
          <w:rFonts w:cs="Arial"/>
        </w:rPr>
        <w:t xml:space="preserve"> έργα που σκοπεύουν να δημιουργήσουν και να βελτιώσουν συστήματα άρδευσης, έργα τα οποία δεν δίνουν στα νοικοκυριά νερό μέσω δικτύου ύδρευσης, όπως για παράδειγμα τα αυτόνομα συστήματα παραγωγής και διάθεσης πόσιμου νερού. Επίσης ο δείκτης δεν πρέπει να χρησιμοποιείται σε απλές αντικαταστάσεις δικτύων.</w:t>
      </w:r>
      <w:r w:rsidR="006F4C39" w:rsidRPr="005B7F09">
        <w:rPr>
          <w:rFonts w:cs="Arial"/>
        </w:rPr>
        <w:t xml:space="preserve"> </w:t>
      </w:r>
      <w:r w:rsidRPr="005B7F09">
        <w:rPr>
          <w:rFonts w:cs="Arial"/>
        </w:rPr>
        <w:t xml:space="preserve">Ο δείκτης σε επίπεδο Προγράμματος δεν περιλαμβάνει πολλαπλούς υπολογισμούς. Στην περίπτωση πολλών παρεμβάσεων που ωφελούν τα ίδια άτομα, ο πληθυσμός των ατόμων υπολογίζεται μια φορά, σύμφωνα με τη </w:t>
      </w:r>
      <w:proofErr w:type="spellStart"/>
      <w:r w:rsidRPr="005B7F09">
        <w:rPr>
          <w:rFonts w:cs="Arial"/>
        </w:rPr>
        <w:t>χωροθέτηση</w:t>
      </w:r>
      <w:proofErr w:type="spellEnd"/>
      <w:r w:rsidRPr="005B7F09">
        <w:rPr>
          <w:rFonts w:cs="Arial"/>
        </w:rPr>
        <w:t xml:space="preserve"> των έργων</w:t>
      </w:r>
    </w:p>
    <w:p w:rsidR="004C6B4E" w:rsidRPr="005B7F09" w:rsidRDefault="006F4C39" w:rsidP="005B7F09">
      <w:pPr>
        <w:pStyle w:val="Default"/>
        <w:spacing w:after="200" w:line="276" w:lineRule="auto"/>
        <w:rPr>
          <w:rFonts w:asciiTheme="minorHAnsi" w:hAnsiTheme="minorHAnsi"/>
          <w:sz w:val="22"/>
          <w:szCs w:val="22"/>
        </w:rPr>
      </w:pPr>
      <w:r w:rsidRPr="005B7F09">
        <w:rPr>
          <w:rFonts w:asciiTheme="minorHAnsi" w:hAnsiTheme="minorHAnsi"/>
          <w:sz w:val="22"/>
          <w:szCs w:val="22"/>
        </w:rPr>
        <w:t xml:space="preserve">Με βάση τα ανωτέρω, οι δυνητικοί δικαιούχοι της πρόσκλησης για την συμπλήρωση της τιμής του δείκτη CO18 καλούνται να υποβάλλουν τον αριθμό των εξυπηρετούμενων κατοίκων στις συγκεκριμένες περιοχές προτεινόμενων παρεμβάσεων για την παρούσα χρονική περίοδο (όχι εν δυνάμει, στο μέλλον). Ο υπολογισμός του πληθυσμού πρέπει να γίνει σύμφωνα με την ακόλουθη μεθοδολογία:  </w:t>
      </w:r>
    </w:p>
    <w:p w:rsidR="004C6B4E" w:rsidRPr="005B7F09" w:rsidRDefault="006F4C39" w:rsidP="005B7F09">
      <w:pPr>
        <w:pStyle w:val="a3"/>
        <w:numPr>
          <w:ilvl w:val="0"/>
          <w:numId w:val="2"/>
        </w:numPr>
      </w:pPr>
      <w:r w:rsidRPr="005B7F09">
        <w:t xml:space="preserve">Σύνολο ενεργών </w:t>
      </w:r>
      <w:proofErr w:type="spellStart"/>
      <w:r w:rsidRPr="005B7F09">
        <w:t>υδρομέτρων</w:t>
      </w:r>
      <w:proofErr w:type="spellEnd"/>
      <w:r w:rsidRPr="005B7F09">
        <w:t xml:space="preserve"> [Α[</w:t>
      </w:r>
    </w:p>
    <w:p w:rsidR="006F4C39" w:rsidRPr="005B7F09" w:rsidRDefault="006F4C39" w:rsidP="005B7F09">
      <w:pPr>
        <w:pStyle w:val="a3"/>
        <w:numPr>
          <w:ilvl w:val="0"/>
          <w:numId w:val="2"/>
        </w:numPr>
      </w:pPr>
      <w:r w:rsidRPr="005B7F09">
        <w:t>Μόνιμος πληθυσμός</w:t>
      </w:r>
      <w:r w:rsidR="00492099" w:rsidRPr="005B7F09">
        <w:t>:</w:t>
      </w:r>
      <w:r w:rsidRPr="005B7F09">
        <w:t xml:space="preserve"> [Β]</w:t>
      </w:r>
    </w:p>
    <w:p w:rsidR="006F4C39" w:rsidRPr="005B7F09" w:rsidRDefault="006F4C39" w:rsidP="005B7F09">
      <w:pPr>
        <w:pStyle w:val="a3"/>
        <w:numPr>
          <w:ilvl w:val="0"/>
          <w:numId w:val="2"/>
        </w:numPr>
      </w:pPr>
      <w:r w:rsidRPr="005B7F09">
        <w:t xml:space="preserve">Υπολογισμός ενεργών </w:t>
      </w:r>
      <w:proofErr w:type="spellStart"/>
      <w:r w:rsidRPr="005B7F09">
        <w:t>υδρομέτρων</w:t>
      </w:r>
      <w:proofErr w:type="spellEnd"/>
      <w:r w:rsidRPr="005B7F09">
        <w:t xml:space="preserve"> μόνιμου πληθυσμού: </w:t>
      </w:r>
      <w:r w:rsidR="00492099" w:rsidRPr="005B7F09">
        <w:t>[Γ]= [Β]/2,5</w:t>
      </w:r>
    </w:p>
    <w:p w:rsidR="00492099" w:rsidRPr="005B7F09" w:rsidRDefault="00492099" w:rsidP="005B7F09">
      <w:pPr>
        <w:pStyle w:val="a3"/>
        <w:numPr>
          <w:ilvl w:val="0"/>
          <w:numId w:val="2"/>
        </w:numPr>
      </w:pPr>
      <w:r w:rsidRPr="005B7F09">
        <w:t xml:space="preserve">Υπολογισμός ενεργών </w:t>
      </w:r>
      <w:proofErr w:type="spellStart"/>
      <w:r w:rsidRPr="005B7F09">
        <w:t>υδρομέτρων</w:t>
      </w:r>
      <w:proofErr w:type="spellEnd"/>
      <w:r w:rsidRPr="005B7F09">
        <w:t xml:space="preserve"> παραθεριστών: [Δ]=[Α] – [Γ]</w:t>
      </w:r>
    </w:p>
    <w:p w:rsidR="00492099" w:rsidRPr="005B7F09" w:rsidRDefault="00492099" w:rsidP="005B7F09">
      <w:pPr>
        <w:pStyle w:val="a3"/>
        <w:numPr>
          <w:ilvl w:val="0"/>
          <w:numId w:val="2"/>
        </w:numPr>
      </w:pPr>
      <w:r w:rsidRPr="005B7F09">
        <w:t>Υπολογισμός  αριθμού παραθεριστών: [Ε]= [Δ]</w:t>
      </w:r>
      <w:r w:rsidRPr="005B7F09">
        <w:rPr>
          <w:lang w:val="en-US"/>
        </w:rPr>
        <w:t>x</w:t>
      </w:r>
      <w:r w:rsidRPr="005B7F09">
        <w:t xml:space="preserve"> 3,0</w:t>
      </w:r>
    </w:p>
    <w:p w:rsidR="00492099" w:rsidRPr="005B7F09" w:rsidRDefault="00492099" w:rsidP="005B7F09">
      <w:pPr>
        <w:pStyle w:val="a3"/>
        <w:numPr>
          <w:ilvl w:val="0"/>
          <w:numId w:val="2"/>
        </w:numPr>
      </w:pPr>
      <w:r w:rsidRPr="005B7F09">
        <w:t xml:space="preserve">Τουρίστες: [Ζ] (για την περιοχή παρέμβασης, με βάση τις επίσημα </w:t>
      </w:r>
      <w:proofErr w:type="spellStart"/>
      <w:r w:rsidRPr="005B7F09">
        <w:t>καταγεγραμένες</w:t>
      </w:r>
      <w:proofErr w:type="spellEnd"/>
      <w:r w:rsidRPr="005B7F09">
        <w:t xml:space="preserve"> κλίνες τουριστικών καταλυμάτων.</w:t>
      </w:r>
    </w:p>
    <w:p w:rsidR="00492099" w:rsidRPr="005B7F09" w:rsidRDefault="00492099" w:rsidP="005B7F09">
      <w:pPr>
        <w:pStyle w:val="a3"/>
        <w:numPr>
          <w:ilvl w:val="0"/>
          <w:numId w:val="2"/>
        </w:numPr>
      </w:pPr>
      <w:r w:rsidRPr="005B7F09">
        <w:t>Υπολογισμός εξυπηρετούμενου πληθυσμού για την περιοχή παρέμβασης και για την παρούσα κατάσταση: [Γ] = [Β]+[Ε]+[Ζ]</w:t>
      </w:r>
    </w:p>
    <w:p w:rsidR="00492099" w:rsidRDefault="00492099" w:rsidP="005B7F09">
      <w:r w:rsidRPr="005B7F09">
        <w:t>Όλα τα παραπάνω πρέπει να βασίζονται σε  πραγματικά στοιχεία και δεδομένα που διαθέτει ο δικαιούχος  και όχι σε εκτιμήσεις. Η ΕΥΔΕΠ Περιφέρειας Αττική δύναται ανά πάσα στιγμή να αναζητήσει τα δεδομένα αυτά, η απουσία των οποίων μπορεί να οδηγήσει σε απόρριψη της πρότασης.</w:t>
      </w:r>
    </w:p>
    <w:p w:rsidR="002352BE" w:rsidRPr="005B7F09" w:rsidRDefault="002352BE" w:rsidP="000B33C8">
      <w:pPr>
        <w:pStyle w:val="a3"/>
        <w:numPr>
          <w:ilvl w:val="0"/>
          <w:numId w:val="1"/>
        </w:numPr>
        <w:spacing w:after="120"/>
        <w:ind w:left="714" w:hanging="357"/>
        <w:rPr>
          <w:u w:val="single"/>
        </w:rPr>
      </w:pPr>
      <w:proofErr w:type="spellStart"/>
      <w:r w:rsidRPr="005B7F09">
        <w:rPr>
          <w:u w:val="single"/>
        </w:rPr>
        <w:t>Ε</w:t>
      </w:r>
      <w:r w:rsidR="00B7287E">
        <w:rPr>
          <w:u w:val="single"/>
        </w:rPr>
        <w:t>πιλε</w:t>
      </w:r>
      <w:r w:rsidRPr="005B7F09">
        <w:rPr>
          <w:u w:val="single"/>
        </w:rPr>
        <w:t>ξ</w:t>
      </w:r>
      <w:r w:rsidR="00B7287E">
        <w:rPr>
          <w:u w:val="single"/>
        </w:rPr>
        <w:t>ι</w:t>
      </w:r>
      <w:r w:rsidRPr="005B7F09">
        <w:rPr>
          <w:u w:val="single"/>
        </w:rPr>
        <w:t>μότητα</w:t>
      </w:r>
      <w:proofErr w:type="spellEnd"/>
      <w:r w:rsidRPr="005B7F09">
        <w:rPr>
          <w:u w:val="single"/>
        </w:rPr>
        <w:t xml:space="preserve"> προτεινόμενων παρεμβάσεων</w:t>
      </w:r>
    </w:p>
    <w:p w:rsidR="002352BE" w:rsidRPr="005B7F09" w:rsidRDefault="002352BE" w:rsidP="000B33C8">
      <w:pPr>
        <w:pStyle w:val="a3"/>
        <w:numPr>
          <w:ilvl w:val="0"/>
          <w:numId w:val="4"/>
        </w:numPr>
        <w:autoSpaceDE w:val="0"/>
        <w:autoSpaceDN w:val="0"/>
        <w:adjustRightInd w:val="0"/>
        <w:spacing w:after="0"/>
        <w:ind w:left="714" w:hanging="357"/>
      </w:pPr>
      <w:r w:rsidRPr="005B7F09">
        <w:t xml:space="preserve">Όπως αναφέρεται ρητά στην ενότητα  1 της εν λόγω πρόσκλησης </w:t>
      </w:r>
      <w:r w:rsidRPr="005B7F09">
        <w:rPr>
          <w:i/>
        </w:rPr>
        <w:t xml:space="preserve">«…Στο πλαίσιο της </w:t>
      </w:r>
      <w:r w:rsidRPr="000B33C8">
        <w:rPr>
          <w:i/>
        </w:rPr>
        <w:t>παρούσας Πρόσκλησης λοιπόν</w:t>
      </w:r>
      <w:r w:rsidRPr="005B7F09">
        <w:rPr>
          <w:i/>
        </w:rPr>
        <w:t xml:space="preserve"> προβλέπεται η αποκατάσταση της ποιότητας και της επάρκειας πόσιμου νερού στα νησιά της Περιφέρειας Αττικής με αποδεδειγμένα προβλήματα ποιότητας και επάρκειας πόσιμου νερού.»</w:t>
      </w:r>
      <w:r w:rsidRPr="005B7F09">
        <w:t xml:space="preserve"> </w:t>
      </w:r>
    </w:p>
    <w:p w:rsidR="002352BE" w:rsidRPr="005B7F09" w:rsidRDefault="002352BE" w:rsidP="005B7F09">
      <w:pPr>
        <w:pStyle w:val="a3"/>
        <w:numPr>
          <w:ilvl w:val="0"/>
          <w:numId w:val="4"/>
        </w:numPr>
      </w:pPr>
      <w:r w:rsidRPr="005B7F09">
        <w:lastRenderedPageBreak/>
        <w:t>Επίσης έχει τεθεί ως η ε</w:t>
      </w:r>
      <w:r w:rsidR="005B7F09" w:rsidRPr="005B7F09">
        <w:t xml:space="preserve">ξής </w:t>
      </w:r>
      <w:r w:rsidRPr="005B7F09">
        <w:t>ειδική προϋπόθεση</w:t>
      </w:r>
      <w:r w:rsidR="005B7F09" w:rsidRPr="005B7F09">
        <w:t>:</w:t>
      </w:r>
      <w:r w:rsidRPr="005B7F09">
        <w:br/>
      </w:r>
      <w:r w:rsidRPr="005B7F09">
        <w:rPr>
          <w:i/>
        </w:rPr>
        <w:t xml:space="preserve">Για διαχειριστικούς λόγους που προκύπτουν από την ανάγκη βελτίωσης της απορρόφησης του ΕΠ, οι προτάσεις των δυνητικών δικαιούχων, πρέπει να αφορούν αποκλειστικά σε </w:t>
      </w:r>
      <w:proofErr w:type="spellStart"/>
      <w:r w:rsidRPr="005B7F09">
        <w:rPr>
          <w:i/>
        </w:rPr>
        <w:t>συμβασιοποιημένα</w:t>
      </w:r>
      <w:proofErr w:type="spellEnd"/>
      <w:r w:rsidRPr="005B7F09">
        <w:rPr>
          <w:i/>
        </w:rPr>
        <w:t xml:space="preserve"> έργα</w:t>
      </w:r>
      <w:r w:rsidR="00FF6E22">
        <w:rPr>
          <w:i/>
        </w:rPr>
        <w:t xml:space="preserve"> (αφορά στο κύριο υποέργο) </w:t>
      </w:r>
      <w:r w:rsidRPr="005B7F09">
        <w:rPr>
          <w:i/>
        </w:rPr>
        <w:t xml:space="preserve"> με δυνατότητα ολοκλήρωσης έως 31/12/2023.</w:t>
      </w:r>
    </w:p>
    <w:p w:rsidR="005B7F09" w:rsidRDefault="005B7F09" w:rsidP="005B7F09">
      <w:pPr>
        <w:pStyle w:val="a3"/>
        <w:numPr>
          <w:ilvl w:val="0"/>
          <w:numId w:val="4"/>
        </w:numPr>
      </w:pPr>
      <w:r w:rsidRPr="005B7F09">
        <w:t xml:space="preserve">Επισημαίνεται ότι δεν είναι επιλέξιμη η προμήθεια βυτιοφόρων οχημάτων ή πλωτών μέσων μεταφοράς νερού για ύδρευση, καθώς δεν </w:t>
      </w:r>
      <w:r w:rsidR="00B7287E">
        <w:t>αποτελεί</w:t>
      </w:r>
      <w:r w:rsidRPr="005B7F09">
        <w:t xml:space="preserve"> ούτε μέθοδο επεξεργασίας νερού ούτε ένα σύγχρονο και οργανωμένο τρόπο διανομής νερού με διασφάλιση της ποιότητας του διακινούμενου νερού.</w:t>
      </w:r>
      <w:r w:rsidR="0037593B">
        <w:t xml:space="preserve"> </w:t>
      </w:r>
    </w:p>
    <w:p w:rsidR="005B7F09" w:rsidRPr="005B7F09" w:rsidRDefault="005B7F09" w:rsidP="005B7F09">
      <w:pPr>
        <w:pStyle w:val="a3"/>
        <w:rPr>
          <w:u w:val="single"/>
        </w:rPr>
      </w:pPr>
    </w:p>
    <w:p w:rsidR="005B7F09" w:rsidRPr="005B7F09" w:rsidRDefault="005B7F09" w:rsidP="000B33C8">
      <w:pPr>
        <w:pStyle w:val="a3"/>
        <w:numPr>
          <w:ilvl w:val="0"/>
          <w:numId w:val="1"/>
        </w:numPr>
        <w:spacing w:after="120"/>
        <w:ind w:left="714" w:hanging="357"/>
        <w:rPr>
          <w:u w:val="single"/>
        </w:rPr>
      </w:pPr>
      <w:r>
        <w:rPr>
          <w:u w:val="single"/>
        </w:rPr>
        <w:t xml:space="preserve">Περιβαλλοντική </w:t>
      </w:r>
      <w:proofErr w:type="spellStart"/>
      <w:r>
        <w:rPr>
          <w:u w:val="single"/>
        </w:rPr>
        <w:t>αδειοδότηση</w:t>
      </w:r>
      <w:proofErr w:type="spellEnd"/>
      <w:r>
        <w:rPr>
          <w:u w:val="single"/>
        </w:rPr>
        <w:t xml:space="preserve"> </w:t>
      </w:r>
    </w:p>
    <w:p w:rsidR="00492099" w:rsidRDefault="000B2CAB" w:rsidP="00492099">
      <w:r>
        <w:t xml:space="preserve">Η έγκριση Περιβαλλοντικών Όρων ή </w:t>
      </w:r>
      <w:bookmarkStart w:id="0" w:name="_GoBack"/>
      <w:bookmarkEnd w:id="0"/>
      <w:r>
        <w:t xml:space="preserve">Πρότυπες Περιβαλλοντικές Δεσμεύσεις ή Τεκμηρίωση περί μη απαίτησης έγκρισης Περιβαλλοντικών Όρων, καθώς και οι λοιπές απαιτούμενες </w:t>
      </w:r>
      <w:proofErr w:type="spellStart"/>
      <w:r>
        <w:t>αδειοδοτήσεις</w:t>
      </w:r>
      <w:proofErr w:type="spellEnd"/>
      <w:r>
        <w:t xml:space="preserve">-εγκρίσεις έχουν αποτυπωθεί στον «Πίνακα αποτύπωσης αδειών και εγκρίσεων του συνόλου της πράξης και του βαθμού προόδου αυτής», όπως προβλέπεται στην παρ. 5.3 της Πρόσκλησης. Με βάση την αποτύπωση αυτή θα αξιολογηθούν και θα βαθμολογηθούν οι προτάσεις  χρηματοδότησης στο πλαίσιο του </w:t>
      </w:r>
      <w:proofErr w:type="spellStart"/>
      <w:r>
        <w:t>Υπο</w:t>
      </w:r>
      <w:proofErr w:type="spellEnd"/>
      <w:r>
        <w:t>-κριτηρίου Δ1 (Στάδιο εξέλιξης των απαιτούμενων ενεργειών ωρίμανσης της πράξης).</w:t>
      </w:r>
    </w:p>
    <w:p w:rsidR="004958E1" w:rsidRDefault="004958E1" w:rsidP="00492099">
      <w:r>
        <w:t>Σε κάθε περίπτωση, πρέπει να ληφθούν υπόψη:</w:t>
      </w:r>
    </w:p>
    <w:p w:rsidR="004958E1" w:rsidRDefault="004958E1" w:rsidP="000B33C8">
      <w:pPr>
        <w:pStyle w:val="a3"/>
        <w:numPr>
          <w:ilvl w:val="0"/>
          <w:numId w:val="4"/>
        </w:numPr>
        <w:autoSpaceDE w:val="0"/>
        <w:autoSpaceDN w:val="0"/>
        <w:adjustRightInd w:val="0"/>
        <w:spacing w:after="0"/>
        <w:ind w:left="714" w:hanging="357"/>
      </w:pPr>
      <w:r>
        <w:t xml:space="preserve">Τα αναφερόμενα στην παρ. 2 (στ) &amp; (ζ) του Άρθρου 1 </w:t>
      </w:r>
      <w:r w:rsidRPr="004958E1">
        <w:t>“</w:t>
      </w:r>
      <w:r w:rsidRPr="00C84DEE">
        <w:t xml:space="preserve"> Πεδίο εφαρμογής” της ΚΥΑ 146896/2014(Β’2878), ήτοι:</w:t>
      </w:r>
      <w:r w:rsidR="00C84DEE">
        <w:t xml:space="preserve"> «</w:t>
      </w:r>
      <w:r w:rsidR="00C84DEE" w:rsidRPr="00C84DEE">
        <w:rPr>
          <w:i/>
        </w:rPr>
        <w:t>2.</w:t>
      </w:r>
      <w:r w:rsidRPr="00C84DEE">
        <w:rPr>
          <w:i/>
        </w:rPr>
        <w:t xml:space="preserve"> </w:t>
      </w:r>
      <w:r w:rsidR="00C84DEE" w:rsidRPr="00C84DEE">
        <w:rPr>
          <w:i/>
        </w:rPr>
        <w:t>Δεν απαιτείται άδεια εκτέλεσης έργου αξιοποίησης υδατικών πόρων ή/και χρήσης ύδατος και κατά συνέπεια δεν εφαρμόζονται οι σχετικές διατάξεις της παρούσας απόφασης:…</w:t>
      </w:r>
      <w:r w:rsidR="00C84DEE">
        <w:rPr>
          <w:i/>
        </w:rPr>
        <w:t xml:space="preserve"> </w:t>
      </w:r>
      <w:r w:rsidR="00C84DEE" w:rsidRPr="00C84DEE">
        <w:rPr>
          <w:i/>
        </w:rPr>
        <w:t>(στ). Στις επισκευές ή αντικαταστάσεις υφισταμένων</w:t>
      </w:r>
      <w:r w:rsidR="00C84DEE">
        <w:rPr>
          <w:i/>
        </w:rPr>
        <w:t xml:space="preserve"> </w:t>
      </w:r>
      <w:r w:rsidR="00C84DEE" w:rsidRPr="00C84DEE">
        <w:rPr>
          <w:i/>
        </w:rPr>
        <w:t xml:space="preserve">δικτύων όπως αρδευτικά, υδρευτικά, αποχετευτικά ακαθάρτων και </w:t>
      </w:r>
      <w:proofErr w:type="spellStart"/>
      <w:r w:rsidR="00C84DEE" w:rsidRPr="00C84DEE">
        <w:rPr>
          <w:i/>
        </w:rPr>
        <w:t>ομβρίων</w:t>
      </w:r>
      <w:proofErr w:type="spellEnd"/>
      <w:r w:rsidR="00C84DEE" w:rsidRPr="00C84DEE">
        <w:rPr>
          <w:i/>
        </w:rPr>
        <w:t>, αποστραγγιστικά και τηλεθέρμανσης, χωρίς αλλαγή της όδευσης ή/και χωρίς επέκταση</w:t>
      </w:r>
      <w:r w:rsidR="00C84DEE">
        <w:rPr>
          <w:i/>
        </w:rPr>
        <w:t xml:space="preserve"> </w:t>
      </w:r>
      <w:r w:rsidR="00C84DEE" w:rsidRPr="00C84DEE">
        <w:rPr>
          <w:i/>
        </w:rPr>
        <w:t>του δικτύου…</w:t>
      </w:r>
      <w:r w:rsidR="00C84DEE">
        <w:rPr>
          <w:i/>
        </w:rPr>
        <w:t xml:space="preserve"> </w:t>
      </w:r>
      <w:r w:rsidR="00C84DEE" w:rsidRPr="00C84DEE">
        <w:rPr>
          <w:i/>
        </w:rPr>
        <w:t xml:space="preserve">(ζ). Στα εντός σχεδίων πόλεων και οικιστικών περιοχών νέα και υφιστάμενα δίκτυα ύδρευσης, τηλεθέρμανσης, αποχετευτικά δίκτυα ακαθάρτων και </w:t>
      </w:r>
      <w:proofErr w:type="spellStart"/>
      <w:r w:rsidR="00C84DEE" w:rsidRPr="00C84DEE">
        <w:rPr>
          <w:i/>
        </w:rPr>
        <w:t>ομβρίων</w:t>
      </w:r>
      <w:proofErr w:type="spellEnd"/>
      <w:r w:rsidR="00C84DEE" w:rsidRPr="00C84DEE">
        <w:rPr>
          <w:i/>
        </w:rPr>
        <w:t xml:space="preserve"> υδάτων…»</w:t>
      </w:r>
    </w:p>
    <w:p w:rsidR="00C84DEE" w:rsidRPr="00C84DEE" w:rsidRDefault="00C84DEE" w:rsidP="000B33C8">
      <w:pPr>
        <w:pStyle w:val="a3"/>
        <w:numPr>
          <w:ilvl w:val="0"/>
          <w:numId w:val="4"/>
        </w:numPr>
        <w:autoSpaceDE w:val="0"/>
        <w:autoSpaceDN w:val="0"/>
        <w:adjustRightInd w:val="0"/>
        <w:spacing w:after="0"/>
        <w:ind w:left="714" w:hanging="357"/>
      </w:pPr>
      <w:r>
        <w:t>Η Υ.Α. 1958/2012 « Κατάταξη δημοσίων και ιδιωτικών έργων και δραστηριοτήτων σε κατηγορίες και υποκατηγορίες σύμφωνα με ρο Άρθρο 1, παράγραφος 4 του Ν. 4014/21-9-2011 (ΦΕΚ209Α’/2011)» όπως τροποποιήθηκε και ισχύει (ΦΕΚ 2471Β’/10-8-2016).</w:t>
      </w:r>
    </w:p>
    <w:p w:rsidR="004958E1" w:rsidRDefault="004958E1" w:rsidP="00C84DEE">
      <w:pPr>
        <w:autoSpaceDE w:val="0"/>
        <w:autoSpaceDN w:val="0"/>
        <w:adjustRightInd w:val="0"/>
        <w:spacing w:after="0" w:line="240" w:lineRule="auto"/>
      </w:pPr>
    </w:p>
    <w:p w:rsidR="004958E1" w:rsidRPr="005B7F09" w:rsidRDefault="004958E1" w:rsidP="000B33C8">
      <w:pPr>
        <w:pStyle w:val="a3"/>
        <w:numPr>
          <w:ilvl w:val="0"/>
          <w:numId w:val="1"/>
        </w:numPr>
        <w:spacing w:after="120"/>
        <w:ind w:left="714" w:hanging="357"/>
        <w:rPr>
          <w:u w:val="single"/>
        </w:rPr>
      </w:pPr>
      <w:r>
        <w:rPr>
          <w:u w:val="single"/>
        </w:rPr>
        <w:t>Εξασφάλιση τροφοδοσίας νερού</w:t>
      </w:r>
    </w:p>
    <w:p w:rsidR="004958E1" w:rsidRDefault="004958E1" w:rsidP="00492099">
      <w:r>
        <w:t>Για να θεωρηθεί μια πράξη ολοκληρωμένη και λειτουργική, πρέπει ο Δικαιούχος να έχει αποδεδειγμένα εξασφάλιση της απρόσκοπτης τροφοδοσίας του δικτύου ύδρευσης αρμοδιότητάς του. Η ΕΥΔΕΠ Περιφέρειας Αττικής δύναται να αναζητήσει, κατά περίπτωση τα σχετικά στοιχειά τεκμηρίωσης.</w:t>
      </w:r>
    </w:p>
    <w:p w:rsidR="004958E1" w:rsidRPr="005B7F09" w:rsidRDefault="004958E1" w:rsidP="000B33C8">
      <w:pPr>
        <w:pStyle w:val="a3"/>
        <w:numPr>
          <w:ilvl w:val="0"/>
          <w:numId w:val="1"/>
        </w:numPr>
        <w:spacing w:after="120"/>
        <w:ind w:left="714" w:hanging="357"/>
        <w:rPr>
          <w:u w:val="single"/>
        </w:rPr>
      </w:pPr>
      <w:r>
        <w:rPr>
          <w:u w:val="single"/>
        </w:rPr>
        <w:t>Εγκύκλιος 47159/ΕΥΘΥ 1045/25-9-2014 (ΑΔΑ: ΩΛ0ΓΦ-0ΒΞ)</w:t>
      </w:r>
    </w:p>
    <w:p w:rsidR="004958E1" w:rsidRDefault="004958E1" w:rsidP="004958E1">
      <w:r>
        <w:t>Επισημαίνεται ότι τα αναφερόμενα στην ως άνω Εγκύκλιο σχετικά με οδηγίες για την μη επιβολή ΦΠΑ σε Τεχνικά Έργα.</w:t>
      </w:r>
    </w:p>
    <w:p w:rsidR="0037593B" w:rsidRDefault="0037593B" w:rsidP="004958E1"/>
    <w:p w:rsidR="0037593B" w:rsidRPr="0037593B" w:rsidRDefault="0037593B" w:rsidP="0037593B">
      <w:pPr>
        <w:pBdr>
          <w:top w:val="single" w:sz="4" w:space="1" w:color="auto"/>
          <w:left w:val="single" w:sz="4" w:space="4" w:color="auto"/>
          <w:bottom w:val="single" w:sz="4" w:space="1" w:color="auto"/>
          <w:right w:val="single" w:sz="4" w:space="4" w:color="auto"/>
        </w:pBdr>
        <w:jc w:val="center"/>
        <w:rPr>
          <w:b/>
        </w:rPr>
      </w:pPr>
      <w:r>
        <w:rPr>
          <w:b/>
        </w:rPr>
        <w:t>ΤΟ ΠΑΡΟΝ ΑΠΟΤΕΛΕΙ ΑΝΑΠΟΣΠΑΣΤΟ  ΚΟΜΜΑΤΙ ΤΗΣ ΠΡΟΣΚΛΗΣΗΣ ΑΤΤ105</w:t>
      </w:r>
    </w:p>
    <w:sectPr w:rsidR="0037593B" w:rsidRPr="0037593B" w:rsidSect="000B33C8">
      <w:footerReference w:type="default" r:id="rId9"/>
      <w:pgSz w:w="11906" w:h="16838"/>
      <w:pgMar w:top="1440" w:right="991" w:bottom="1440"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48F" w:rsidRDefault="001E048F" w:rsidP="001E048F">
      <w:pPr>
        <w:spacing w:after="0" w:line="240" w:lineRule="auto"/>
      </w:pPr>
      <w:r>
        <w:separator/>
      </w:r>
    </w:p>
  </w:endnote>
  <w:endnote w:type="continuationSeparator" w:id="0">
    <w:p w:rsidR="001E048F" w:rsidRDefault="001E048F" w:rsidP="001E0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052171"/>
      <w:docPartObj>
        <w:docPartGallery w:val="Page Numbers (Bottom of Page)"/>
        <w:docPartUnique/>
      </w:docPartObj>
    </w:sdtPr>
    <w:sdtEndPr>
      <w:rPr>
        <w:sz w:val="18"/>
        <w:szCs w:val="18"/>
      </w:rPr>
    </w:sdtEndPr>
    <w:sdtContent>
      <w:p w:rsidR="001E048F" w:rsidRPr="001E048F" w:rsidRDefault="001E048F">
        <w:pPr>
          <w:pStyle w:val="a5"/>
          <w:jc w:val="right"/>
          <w:rPr>
            <w:sz w:val="18"/>
            <w:szCs w:val="18"/>
          </w:rPr>
        </w:pPr>
        <w:r w:rsidRPr="001E048F">
          <w:rPr>
            <w:sz w:val="18"/>
            <w:szCs w:val="18"/>
          </w:rPr>
          <w:fldChar w:fldCharType="begin"/>
        </w:r>
        <w:r w:rsidRPr="001E048F">
          <w:rPr>
            <w:sz w:val="18"/>
            <w:szCs w:val="18"/>
          </w:rPr>
          <w:instrText>PAGE   \* MERGEFORMAT</w:instrText>
        </w:r>
        <w:r w:rsidRPr="001E048F">
          <w:rPr>
            <w:sz w:val="18"/>
            <w:szCs w:val="18"/>
          </w:rPr>
          <w:fldChar w:fldCharType="separate"/>
        </w:r>
        <w:r w:rsidR="00B7287E">
          <w:rPr>
            <w:noProof/>
            <w:sz w:val="18"/>
            <w:szCs w:val="18"/>
          </w:rPr>
          <w:t>2</w:t>
        </w:r>
        <w:r w:rsidRPr="001E048F">
          <w:rPr>
            <w:sz w:val="18"/>
            <w:szCs w:val="18"/>
          </w:rPr>
          <w:fldChar w:fldCharType="end"/>
        </w:r>
      </w:p>
    </w:sdtContent>
  </w:sdt>
  <w:p w:rsidR="001E048F" w:rsidRDefault="001E048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48F" w:rsidRDefault="001E048F" w:rsidP="001E048F">
      <w:pPr>
        <w:spacing w:after="0" w:line="240" w:lineRule="auto"/>
      </w:pPr>
      <w:r>
        <w:separator/>
      </w:r>
    </w:p>
  </w:footnote>
  <w:footnote w:type="continuationSeparator" w:id="0">
    <w:p w:rsidR="001E048F" w:rsidRDefault="001E048F" w:rsidP="001E04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75C1B"/>
    <w:multiLevelType w:val="hybridMultilevel"/>
    <w:tmpl w:val="0BBA5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18E3ADD"/>
    <w:multiLevelType w:val="hybridMultilevel"/>
    <w:tmpl w:val="0BBA5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31E39BD"/>
    <w:multiLevelType w:val="hybridMultilevel"/>
    <w:tmpl w:val="0BBA5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37945F18"/>
    <w:multiLevelType w:val="hybridMultilevel"/>
    <w:tmpl w:val="E26E177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61D7E4E"/>
    <w:multiLevelType w:val="hybridMultilevel"/>
    <w:tmpl w:val="0BBA59B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5C74162A"/>
    <w:multiLevelType w:val="hybridMultilevel"/>
    <w:tmpl w:val="F26476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B4E"/>
    <w:rsid w:val="000B2CAB"/>
    <w:rsid w:val="000B33C8"/>
    <w:rsid w:val="001E048F"/>
    <w:rsid w:val="002352BE"/>
    <w:rsid w:val="0037593B"/>
    <w:rsid w:val="00390A25"/>
    <w:rsid w:val="00492099"/>
    <w:rsid w:val="004958E1"/>
    <w:rsid w:val="004C6B4E"/>
    <w:rsid w:val="005B7F09"/>
    <w:rsid w:val="006F4C39"/>
    <w:rsid w:val="00B7287E"/>
    <w:rsid w:val="00C84DEE"/>
    <w:rsid w:val="00FF6E2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6B4E"/>
    <w:pPr>
      <w:ind w:left="720"/>
      <w:contextualSpacing/>
    </w:pPr>
  </w:style>
  <w:style w:type="paragraph" w:customStyle="1" w:styleId="Default">
    <w:name w:val="Default"/>
    <w:rsid w:val="004C6B4E"/>
    <w:pPr>
      <w:autoSpaceDE w:val="0"/>
      <w:autoSpaceDN w:val="0"/>
      <w:adjustRightInd w:val="0"/>
      <w:spacing w:after="0" w:line="240" w:lineRule="auto"/>
    </w:pPr>
    <w:rPr>
      <w:rFonts w:ascii="Calibri" w:hAnsi="Calibri" w:cs="Calibri"/>
      <w:color w:val="000000"/>
      <w:sz w:val="24"/>
      <w:szCs w:val="24"/>
    </w:rPr>
  </w:style>
  <w:style w:type="paragraph" w:styleId="a4">
    <w:name w:val="header"/>
    <w:basedOn w:val="a"/>
    <w:link w:val="Char"/>
    <w:uiPriority w:val="99"/>
    <w:unhideWhenUsed/>
    <w:rsid w:val="001E048F"/>
    <w:pPr>
      <w:tabs>
        <w:tab w:val="center" w:pos="4153"/>
        <w:tab w:val="right" w:pos="8306"/>
      </w:tabs>
      <w:spacing w:after="0" w:line="240" w:lineRule="auto"/>
    </w:pPr>
  </w:style>
  <w:style w:type="character" w:customStyle="1" w:styleId="Char">
    <w:name w:val="Κεφαλίδα Char"/>
    <w:basedOn w:val="a0"/>
    <w:link w:val="a4"/>
    <w:uiPriority w:val="99"/>
    <w:rsid w:val="001E048F"/>
  </w:style>
  <w:style w:type="paragraph" w:styleId="a5">
    <w:name w:val="footer"/>
    <w:basedOn w:val="a"/>
    <w:link w:val="Char0"/>
    <w:uiPriority w:val="99"/>
    <w:unhideWhenUsed/>
    <w:rsid w:val="001E048F"/>
    <w:pPr>
      <w:tabs>
        <w:tab w:val="center" w:pos="4153"/>
        <w:tab w:val="right" w:pos="8306"/>
      </w:tabs>
      <w:spacing w:after="0" w:line="240" w:lineRule="auto"/>
    </w:pPr>
  </w:style>
  <w:style w:type="character" w:customStyle="1" w:styleId="Char0">
    <w:name w:val="Υποσέλιδο Char"/>
    <w:basedOn w:val="a0"/>
    <w:link w:val="a5"/>
    <w:uiPriority w:val="99"/>
    <w:rsid w:val="001E048F"/>
  </w:style>
  <w:style w:type="paragraph" w:styleId="a6">
    <w:name w:val="Balloon Text"/>
    <w:basedOn w:val="a"/>
    <w:link w:val="Char1"/>
    <w:uiPriority w:val="99"/>
    <w:semiHidden/>
    <w:unhideWhenUsed/>
    <w:rsid w:val="00B7287E"/>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7287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6B4E"/>
    <w:pPr>
      <w:ind w:left="720"/>
      <w:contextualSpacing/>
    </w:pPr>
  </w:style>
  <w:style w:type="paragraph" w:customStyle="1" w:styleId="Default">
    <w:name w:val="Default"/>
    <w:rsid w:val="004C6B4E"/>
    <w:pPr>
      <w:autoSpaceDE w:val="0"/>
      <w:autoSpaceDN w:val="0"/>
      <w:adjustRightInd w:val="0"/>
      <w:spacing w:after="0" w:line="240" w:lineRule="auto"/>
    </w:pPr>
    <w:rPr>
      <w:rFonts w:ascii="Calibri" w:hAnsi="Calibri" w:cs="Calibri"/>
      <w:color w:val="000000"/>
      <w:sz w:val="24"/>
      <w:szCs w:val="24"/>
    </w:rPr>
  </w:style>
  <w:style w:type="paragraph" w:styleId="a4">
    <w:name w:val="header"/>
    <w:basedOn w:val="a"/>
    <w:link w:val="Char"/>
    <w:uiPriority w:val="99"/>
    <w:unhideWhenUsed/>
    <w:rsid w:val="001E048F"/>
    <w:pPr>
      <w:tabs>
        <w:tab w:val="center" w:pos="4153"/>
        <w:tab w:val="right" w:pos="8306"/>
      </w:tabs>
      <w:spacing w:after="0" w:line="240" w:lineRule="auto"/>
    </w:pPr>
  </w:style>
  <w:style w:type="character" w:customStyle="1" w:styleId="Char">
    <w:name w:val="Κεφαλίδα Char"/>
    <w:basedOn w:val="a0"/>
    <w:link w:val="a4"/>
    <w:uiPriority w:val="99"/>
    <w:rsid w:val="001E048F"/>
  </w:style>
  <w:style w:type="paragraph" w:styleId="a5">
    <w:name w:val="footer"/>
    <w:basedOn w:val="a"/>
    <w:link w:val="Char0"/>
    <w:uiPriority w:val="99"/>
    <w:unhideWhenUsed/>
    <w:rsid w:val="001E048F"/>
    <w:pPr>
      <w:tabs>
        <w:tab w:val="center" w:pos="4153"/>
        <w:tab w:val="right" w:pos="8306"/>
      </w:tabs>
      <w:spacing w:after="0" w:line="240" w:lineRule="auto"/>
    </w:pPr>
  </w:style>
  <w:style w:type="character" w:customStyle="1" w:styleId="Char0">
    <w:name w:val="Υποσέλιδο Char"/>
    <w:basedOn w:val="a0"/>
    <w:link w:val="a5"/>
    <w:uiPriority w:val="99"/>
    <w:rsid w:val="001E048F"/>
  </w:style>
  <w:style w:type="paragraph" w:styleId="a6">
    <w:name w:val="Balloon Text"/>
    <w:basedOn w:val="a"/>
    <w:link w:val="Char1"/>
    <w:uiPriority w:val="99"/>
    <w:semiHidden/>
    <w:unhideWhenUsed/>
    <w:rsid w:val="00B7287E"/>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7287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183AF-E520-4CC8-AE01-C50520CF1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Pages>
  <Words>872</Words>
  <Characters>4709</Characters>
  <Application>Microsoft Office Word</Application>
  <DocSecurity>0</DocSecurity>
  <Lines>39</Lines>
  <Paragraphs>11</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5570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2019-12-02T09:10:00Z</cp:lastPrinted>
  <dcterms:created xsi:type="dcterms:W3CDTF">2019-11-22T06:36:00Z</dcterms:created>
  <dcterms:modified xsi:type="dcterms:W3CDTF">2019-12-02T09:25:00Z</dcterms:modified>
</cp:coreProperties>
</file>